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12CD8" w14:textId="77777777" w:rsidR="000613C8" w:rsidRDefault="000613C8" w:rsidP="00F11D1F">
      <w:pPr>
        <w:pStyle w:val="Title"/>
        <w:jc w:val="center"/>
      </w:pPr>
    </w:p>
    <w:p w14:paraId="3DCAE4D4" w14:textId="1407A993" w:rsidR="002F1BE8" w:rsidRDefault="002F1BE8" w:rsidP="00F11D1F">
      <w:pPr>
        <w:pStyle w:val="Title"/>
        <w:jc w:val="center"/>
      </w:pPr>
      <w:r w:rsidRPr="002F1BE8">
        <w:t xml:space="preserve">Explicative note </w:t>
      </w:r>
      <w:r>
        <w:t>on the changes related to the implementation of the new balancing settlement methodology according to Balansys Consultation 8 and 9</w:t>
      </w:r>
    </w:p>
    <w:p w14:paraId="13288633" w14:textId="1598971E" w:rsidR="002F1BE8" w:rsidRDefault="002F1BE8" w:rsidP="00F11D1F"/>
    <w:p w14:paraId="19EA1B77" w14:textId="0AABE1AB" w:rsidR="002F1BE8" w:rsidRDefault="002F1BE8" w:rsidP="00F11D1F">
      <w:pPr>
        <w:pStyle w:val="Chapter1"/>
        <w:ind w:left="714" w:hanging="357"/>
      </w:pPr>
      <w:r>
        <w:t xml:space="preserve">Planning </w:t>
      </w:r>
    </w:p>
    <w:p w14:paraId="7EFD0581" w14:textId="3DF4E2E9" w:rsidR="002F1BE8" w:rsidRDefault="002F1BE8" w:rsidP="00F11D1F">
      <w:r>
        <w:t>The new methodology will come into force on gasday January 1</w:t>
      </w:r>
      <w:r w:rsidRPr="2F6BC39B">
        <w:rPr>
          <w:vertAlign w:val="superscript"/>
        </w:rPr>
        <w:t>st</w:t>
      </w:r>
      <w:r w:rsidR="31467584">
        <w:t>, 2024</w:t>
      </w:r>
      <w:r>
        <w:t>.</w:t>
      </w:r>
    </w:p>
    <w:p w14:paraId="0C4A5387" w14:textId="77777777" w:rsidR="00CA223E" w:rsidRPr="002F1BE8" w:rsidRDefault="00CA223E" w:rsidP="00F11D1F"/>
    <w:p w14:paraId="36A31DEE" w14:textId="4390A2E0" w:rsidR="002F1BE8" w:rsidRPr="00C713EF" w:rsidRDefault="002F1BE8" w:rsidP="00F11D1F">
      <w:pPr>
        <w:pStyle w:val="Chapter1"/>
        <w:rPr>
          <w:lang w:val="en-GB"/>
        </w:rPr>
      </w:pPr>
      <w:r w:rsidRPr="00C713EF">
        <w:rPr>
          <w:lang w:val="en-GB"/>
        </w:rPr>
        <w:t>Modifications on the Electronic Data Platform</w:t>
      </w:r>
    </w:p>
    <w:p w14:paraId="7BFC3560" w14:textId="639B82E9" w:rsidR="002F1BE8" w:rsidRDefault="002F1BE8" w:rsidP="00F11D1F">
      <w:pPr>
        <w:rPr>
          <w:lang w:val="en-GB"/>
        </w:rPr>
      </w:pPr>
      <w:r w:rsidRPr="2F6BC39B">
        <w:rPr>
          <w:lang w:val="en-GB"/>
        </w:rPr>
        <w:t>The modifications on t</w:t>
      </w:r>
      <w:r w:rsidR="00F11D1F" w:rsidRPr="2F6BC39B">
        <w:rPr>
          <w:lang w:val="en-GB"/>
        </w:rPr>
        <w:t>h</w:t>
      </w:r>
      <w:r w:rsidRPr="2F6BC39B">
        <w:rPr>
          <w:lang w:val="en-GB"/>
        </w:rPr>
        <w:t>e Electronic Data Platform consists of:</w:t>
      </w:r>
    </w:p>
    <w:p w14:paraId="71E57BAE" w14:textId="77777777" w:rsidR="001F26CE" w:rsidRPr="00F11D1F" w:rsidRDefault="001F26CE" w:rsidP="001F26CE">
      <w:pPr>
        <w:pStyle w:val="ListParagraph"/>
        <w:numPr>
          <w:ilvl w:val="0"/>
          <w:numId w:val="5"/>
        </w:numPr>
        <w:rPr>
          <w:lang w:val="en-GB"/>
        </w:rPr>
      </w:pPr>
      <w:r>
        <w:rPr>
          <w:lang w:val="en-GB"/>
        </w:rPr>
        <w:t>Each g</w:t>
      </w:r>
      <w:r w:rsidRPr="00F11D1F">
        <w:rPr>
          <w:lang w:val="en-GB"/>
        </w:rPr>
        <w:t xml:space="preserve">as zone </w:t>
      </w:r>
      <w:r>
        <w:rPr>
          <w:lang w:val="en-GB"/>
        </w:rPr>
        <w:t xml:space="preserve">(H or L) will be accessible via </w:t>
      </w:r>
      <w:r w:rsidRPr="00B921F5">
        <w:rPr>
          <w:u w:val="single"/>
          <w:lang w:val="en-GB"/>
        </w:rPr>
        <w:t>separate screens.</w:t>
      </w:r>
    </w:p>
    <w:p w14:paraId="47570EF4" w14:textId="77777777" w:rsidR="001F26CE" w:rsidRDefault="001F26CE" w:rsidP="001F26CE">
      <w:pPr>
        <w:pStyle w:val="ListParagraph"/>
        <w:rPr>
          <w:lang w:val="en-GB"/>
        </w:rPr>
      </w:pPr>
    </w:p>
    <w:p w14:paraId="54C76680" w14:textId="706755E4" w:rsidR="002F1BE8" w:rsidRDefault="002F1BE8" w:rsidP="00F11D1F">
      <w:pPr>
        <w:pStyle w:val="ListParagraph"/>
        <w:numPr>
          <w:ilvl w:val="0"/>
          <w:numId w:val="5"/>
        </w:numPr>
        <w:rPr>
          <w:lang w:val="en-GB"/>
        </w:rPr>
      </w:pPr>
      <w:r w:rsidRPr="00F11D1F">
        <w:rPr>
          <w:lang w:val="en-GB"/>
        </w:rPr>
        <w:t xml:space="preserve">Publication of the </w:t>
      </w:r>
      <w:r w:rsidRPr="00B921F5">
        <w:rPr>
          <w:u w:val="single"/>
          <w:lang w:val="en-GB"/>
        </w:rPr>
        <w:t xml:space="preserve">6 </w:t>
      </w:r>
      <w:r w:rsidR="00F11D1F" w:rsidRPr="00B921F5">
        <w:rPr>
          <w:u w:val="single"/>
          <w:lang w:val="en-GB"/>
        </w:rPr>
        <w:t>balancing settlement prices</w:t>
      </w:r>
      <w:r w:rsidR="00F11D1F" w:rsidRPr="00F11D1F">
        <w:rPr>
          <w:lang w:val="en-GB"/>
        </w:rPr>
        <w:t xml:space="preserve"> </w:t>
      </w:r>
    </w:p>
    <w:p w14:paraId="4AE4C7FA" w14:textId="1DA03C60" w:rsidR="00F11D1F" w:rsidRDefault="00F11D1F" w:rsidP="00F11D1F">
      <w:pPr>
        <w:pStyle w:val="ListParagraph"/>
        <w:numPr>
          <w:ilvl w:val="1"/>
          <w:numId w:val="5"/>
        </w:numPr>
        <w:rPr>
          <w:lang w:val="en-GB"/>
        </w:rPr>
      </w:pPr>
      <w:r>
        <w:rPr>
          <w:lang w:val="en-GB"/>
        </w:rPr>
        <w:t>EBSP_main_causer</w:t>
      </w:r>
    </w:p>
    <w:p w14:paraId="679AD7E8" w14:textId="18E5D3FB" w:rsidR="00F11D1F" w:rsidRDefault="00F11D1F" w:rsidP="00F11D1F">
      <w:pPr>
        <w:pStyle w:val="ListParagraph"/>
        <w:numPr>
          <w:ilvl w:val="1"/>
          <w:numId w:val="5"/>
        </w:numPr>
        <w:rPr>
          <w:lang w:val="en-GB"/>
        </w:rPr>
      </w:pPr>
      <w:r>
        <w:rPr>
          <w:lang w:val="en-GB"/>
        </w:rPr>
        <w:t>EBSP_minor_causer</w:t>
      </w:r>
    </w:p>
    <w:p w14:paraId="794CC355" w14:textId="0EE24F69" w:rsidR="00F11D1F" w:rsidRDefault="00F11D1F" w:rsidP="00F11D1F">
      <w:pPr>
        <w:pStyle w:val="ListParagraph"/>
        <w:numPr>
          <w:ilvl w:val="1"/>
          <w:numId w:val="5"/>
        </w:numPr>
        <w:rPr>
          <w:lang w:val="en-GB"/>
        </w:rPr>
      </w:pPr>
      <w:r>
        <w:rPr>
          <w:lang w:val="en-GB"/>
        </w:rPr>
        <w:t>EBSP_helper</w:t>
      </w:r>
    </w:p>
    <w:p w14:paraId="6479E276" w14:textId="0989C709" w:rsidR="00F11D1F" w:rsidRDefault="00F11D1F" w:rsidP="00F11D1F">
      <w:pPr>
        <w:pStyle w:val="ListParagraph"/>
        <w:numPr>
          <w:ilvl w:val="1"/>
          <w:numId w:val="5"/>
        </w:numPr>
        <w:rPr>
          <w:lang w:val="en-GB"/>
        </w:rPr>
      </w:pPr>
      <w:r>
        <w:rPr>
          <w:lang w:val="en-GB"/>
        </w:rPr>
        <w:t>SBSP_main_causer</w:t>
      </w:r>
    </w:p>
    <w:p w14:paraId="32F1C639" w14:textId="30FF04C3" w:rsidR="00F11D1F" w:rsidRDefault="00F11D1F" w:rsidP="00F11D1F">
      <w:pPr>
        <w:pStyle w:val="ListParagraph"/>
        <w:numPr>
          <w:ilvl w:val="1"/>
          <w:numId w:val="5"/>
        </w:numPr>
        <w:rPr>
          <w:lang w:val="en-GB"/>
        </w:rPr>
      </w:pPr>
      <w:r>
        <w:rPr>
          <w:lang w:val="en-GB"/>
        </w:rPr>
        <w:t>SBSP_minor_causer</w:t>
      </w:r>
    </w:p>
    <w:p w14:paraId="004E4E21" w14:textId="6F72539A" w:rsidR="00F11D1F" w:rsidRPr="00F11D1F" w:rsidRDefault="00F11D1F" w:rsidP="00F11D1F">
      <w:pPr>
        <w:pStyle w:val="ListParagraph"/>
        <w:numPr>
          <w:ilvl w:val="1"/>
          <w:numId w:val="5"/>
        </w:numPr>
        <w:rPr>
          <w:lang w:val="en-GB"/>
        </w:rPr>
      </w:pPr>
      <w:r>
        <w:rPr>
          <w:lang w:val="en-GB"/>
        </w:rPr>
        <w:t>SBSP_helper</w:t>
      </w:r>
    </w:p>
    <w:p w14:paraId="33925032" w14:textId="28896B97" w:rsidR="00F11D1F" w:rsidRDefault="0057334B" w:rsidP="0075296E">
      <w:pPr>
        <w:ind w:left="720"/>
        <w:rPr>
          <w:lang w:val="en-GB"/>
        </w:rPr>
      </w:pPr>
      <w:r w:rsidRPr="2F6BC39B">
        <w:rPr>
          <w:lang w:val="en-GB"/>
        </w:rPr>
        <w:t>As it is</w:t>
      </w:r>
      <w:r w:rsidR="0055328C">
        <w:rPr>
          <w:lang w:val="en-GB"/>
        </w:rPr>
        <w:t xml:space="preserve"> already</w:t>
      </w:r>
      <w:r w:rsidRPr="2F6BC39B">
        <w:rPr>
          <w:lang w:val="en-GB"/>
        </w:rPr>
        <w:t xml:space="preserve"> the case with the current EDP, t</w:t>
      </w:r>
      <w:r w:rsidR="00F11D1F" w:rsidRPr="2F6BC39B">
        <w:rPr>
          <w:lang w:val="en-GB"/>
        </w:rPr>
        <w:t xml:space="preserve">o </w:t>
      </w:r>
      <w:r w:rsidR="00FB1465">
        <w:rPr>
          <w:lang w:val="en-GB"/>
        </w:rPr>
        <w:t>make the distinction</w:t>
      </w:r>
      <w:r w:rsidR="00F11D1F" w:rsidRPr="2F6BC39B">
        <w:rPr>
          <w:lang w:val="en-GB"/>
        </w:rPr>
        <w:t xml:space="preserve"> between Within-Day and End-of-Day</w:t>
      </w:r>
      <w:r w:rsidR="00C713EF" w:rsidRPr="2F6BC39B">
        <w:rPr>
          <w:lang w:val="en-GB"/>
        </w:rPr>
        <w:t xml:space="preserve"> settlements</w:t>
      </w:r>
      <w:r w:rsidR="00F11D1F" w:rsidRPr="2F6BC39B">
        <w:rPr>
          <w:lang w:val="en-GB"/>
        </w:rPr>
        <w:t>, th</w:t>
      </w:r>
      <w:r w:rsidR="00120010" w:rsidRPr="2F6BC39B">
        <w:rPr>
          <w:lang w:val="en-GB"/>
        </w:rPr>
        <w:t xml:space="preserve">e </w:t>
      </w:r>
      <w:r w:rsidR="00C713EF" w:rsidRPr="2F6BC39B">
        <w:rPr>
          <w:lang w:val="en-GB"/>
        </w:rPr>
        <w:t xml:space="preserve">shipper </w:t>
      </w:r>
      <w:r w:rsidR="000108A1">
        <w:rPr>
          <w:lang w:val="en-GB"/>
        </w:rPr>
        <w:t>must</w:t>
      </w:r>
      <w:r w:rsidRPr="2F6BC39B">
        <w:rPr>
          <w:lang w:val="en-GB"/>
        </w:rPr>
        <w:t xml:space="preserve"> </w:t>
      </w:r>
      <w:r w:rsidR="0075296E" w:rsidRPr="2F6BC39B">
        <w:rPr>
          <w:lang w:val="en-GB"/>
        </w:rPr>
        <w:t xml:space="preserve">look at the </w:t>
      </w:r>
      <w:r w:rsidR="00120010" w:rsidRPr="2F6BC39B">
        <w:rPr>
          <w:lang w:val="en-GB"/>
        </w:rPr>
        <w:t xml:space="preserve">corresponding gas day </w:t>
      </w:r>
      <w:r w:rsidR="1B923A3E" w:rsidRPr="2F6BC39B">
        <w:rPr>
          <w:lang w:val="en-GB"/>
        </w:rPr>
        <w:t>hours:</w:t>
      </w:r>
      <w:r w:rsidR="0075296E" w:rsidRPr="2F6BC39B">
        <w:rPr>
          <w:lang w:val="en-GB"/>
        </w:rPr>
        <w:t xml:space="preserve"> hours 1 to 23 correspond to Within-Day settlements, </w:t>
      </w:r>
      <w:r w:rsidR="00922B3D" w:rsidRPr="2F6BC39B">
        <w:rPr>
          <w:lang w:val="en-GB"/>
        </w:rPr>
        <w:t>gas day hour 24 correspond to End-of-Day settlement.</w:t>
      </w:r>
    </w:p>
    <w:p w14:paraId="19DF48C2" w14:textId="77777777" w:rsidR="006E0476" w:rsidRPr="006E0476" w:rsidRDefault="006E0476" w:rsidP="006E0476">
      <w:pPr>
        <w:pStyle w:val="ListParagraph"/>
        <w:rPr>
          <w:lang w:val="en-GB"/>
        </w:rPr>
      </w:pPr>
    </w:p>
    <w:p w14:paraId="069D79D6" w14:textId="6324FD56" w:rsidR="002F1BE8" w:rsidRPr="00C556B9" w:rsidRDefault="002851B7" w:rsidP="00F11D1F">
      <w:pPr>
        <w:pStyle w:val="Chapter1"/>
        <w:rPr>
          <w:lang w:val="en-GB"/>
        </w:rPr>
      </w:pPr>
      <w:r w:rsidRPr="00AD0984">
        <w:rPr>
          <w:lang w:val="en-GB"/>
        </w:rPr>
        <w:t>A</w:t>
      </w:r>
      <w:r w:rsidR="002F1BE8" w:rsidRPr="00AD0984">
        <w:rPr>
          <w:lang w:val="en-GB"/>
        </w:rPr>
        <w:t>utomatic download</w:t>
      </w:r>
    </w:p>
    <w:p w14:paraId="1CB9D27E" w14:textId="60427515" w:rsidR="00AF0EA6" w:rsidRDefault="00AF0EA6" w:rsidP="00AF0EA6">
      <w:pPr>
        <w:rPr>
          <w:lang w:val="en-GB" w:eastAsia="en-GB"/>
        </w:rPr>
      </w:pPr>
      <w:r w:rsidRPr="00E01745">
        <w:rPr>
          <w:lang w:val="en-GB" w:eastAsia="en-GB"/>
        </w:rPr>
        <w:t xml:space="preserve">The </w:t>
      </w:r>
      <w:r w:rsidR="00AA6917">
        <w:rPr>
          <w:lang w:val="en-GB" w:eastAsia="en-GB"/>
        </w:rPr>
        <w:t xml:space="preserve">document ‘Technical </w:t>
      </w:r>
      <w:r w:rsidR="00F85926">
        <w:rPr>
          <w:lang w:val="en-GB" w:eastAsia="en-GB"/>
        </w:rPr>
        <w:t>D</w:t>
      </w:r>
      <w:r w:rsidR="00AA6917">
        <w:rPr>
          <w:lang w:val="en-GB" w:eastAsia="en-GB"/>
        </w:rPr>
        <w:t xml:space="preserve">escription and </w:t>
      </w:r>
      <w:r w:rsidR="00F85926">
        <w:rPr>
          <w:lang w:val="en-GB" w:eastAsia="en-GB"/>
        </w:rPr>
        <w:t>R</w:t>
      </w:r>
      <w:r w:rsidR="00AA6917">
        <w:rPr>
          <w:lang w:val="en-GB" w:eastAsia="en-GB"/>
        </w:rPr>
        <w:t>equirements’</w:t>
      </w:r>
      <w:r w:rsidR="00F0650D">
        <w:rPr>
          <w:lang w:val="en-GB" w:eastAsia="en-GB"/>
        </w:rPr>
        <w:t>(</w:t>
      </w:r>
      <w:hyperlink r:id="rId7" w:history="1">
        <w:r w:rsidR="00F85926" w:rsidRPr="00F4550C">
          <w:rPr>
            <w:rStyle w:val="Hyperlink"/>
            <w:lang w:val="en-GB" w:eastAsia="en-GB"/>
          </w:rPr>
          <w:t>http://www.balansys.eu/wp-content/uploads/2023/02/Fluxys_Balansys.zip</w:t>
        </w:r>
      </w:hyperlink>
      <w:r w:rsidR="00F0650D">
        <w:rPr>
          <w:lang w:val="en-GB" w:eastAsia="en-GB"/>
        </w:rPr>
        <w:t>)</w:t>
      </w:r>
      <w:r w:rsidR="00AA6917">
        <w:rPr>
          <w:lang w:val="en-GB" w:eastAsia="en-GB"/>
        </w:rPr>
        <w:t xml:space="preserve"> </w:t>
      </w:r>
      <w:r w:rsidR="00E01745" w:rsidRPr="00E01745">
        <w:rPr>
          <w:lang w:val="en-GB" w:eastAsia="en-GB"/>
        </w:rPr>
        <w:t>provides a FAQ for both SPOCs, and developers</w:t>
      </w:r>
      <w:r w:rsidR="00BB19C6">
        <w:rPr>
          <w:lang w:val="en-GB" w:eastAsia="en-GB"/>
        </w:rPr>
        <w:t xml:space="preserve">. It also contains </w:t>
      </w:r>
      <w:r w:rsidR="00E01745" w:rsidRPr="00E01745">
        <w:rPr>
          <w:lang w:val="en-GB" w:eastAsia="en-GB"/>
        </w:rPr>
        <w:t xml:space="preserve">a description of the </w:t>
      </w:r>
      <w:r w:rsidR="00BB19C6">
        <w:rPr>
          <w:lang w:val="en-GB" w:eastAsia="en-GB"/>
        </w:rPr>
        <w:t xml:space="preserve">(new) </w:t>
      </w:r>
      <w:r w:rsidR="00E01745" w:rsidRPr="00E01745">
        <w:rPr>
          <w:lang w:val="en-GB" w:eastAsia="en-GB"/>
        </w:rPr>
        <w:t xml:space="preserve">automated download, </w:t>
      </w:r>
      <w:r w:rsidR="00C52E33">
        <w:rPr>
          <w:lang w:val="en-GB" w:eastAsia="en-GB"/>
        </w:rPr>
        <w:t>as well as</w:t>
      </w:r>
      <w:r w:rsidR="00E01745" w:rsidRPr="00E01745">
        <w:rPr>
          <w:lang w:val="en-GB" w:eastAsia="en-GB"/>
        </w:rPr>
        <w:t xml:space="preserve"> the technical requirements </w:t>
      </w:r>
      <w:r w:rsidR="00BB19C6">
        <w:rPr>
          <w:lang w:val="en-GB" w:eastAsia="en-GB"/>
        </w:rPr>
        <w:t>needed</w:t>
      </w:r>
      <w:r w:rsidR="00E01745" w:rsidRPr="00E01745">
        <w:rPr>
          <w:lang w:val="en-GB" w:eastAsia="en-GB"/>
        </w:rPr>
        <w:t>.</w:t>
      </w:r>
    </w:p>
    <w:p w14:paraId="7AE838BF" w14:textId="3179E083" w:rsidR="006D07D3" w:rsidRDefault="006D07D3" w:rsidP="00AF0EA6">
      <w:pPr>
        <w:rPr>
          <w:lang w:val="en-GB" w:eastAsia="en-GB"/>
        </w:rPr>
      </w:pPr>
      <w:r>
        <w:rPr>
          <w:lang w:val="en-GB" w:eastAsia="en-GB"/>
        </w:rPr>
        <w:t xml:space="preserve">Furthermore, there is a folder available which contains </w:t>
      </w:r>
      <w:r w:rsidR="00706B1D">
        <w:rPr>
          <w:lang w:val="en-GB" w:eastAsia="en-GB"/>
        </w:rPr>
        <w:t>xsd-schemas and examples.</w:t>
      </w:r>
    </w:p>
    <w:p w14:paraId="05FFA316" w14:textId="15E3FFAD" w:rsidR="0010789B" w:rsidRDefault="0010789B" w:rsidP="00AF0EA6">
      <w:pPr>
        <w:rPr>
          <w:lang w:val="en-GB" w:eastAsia="en-GB"/>
        </w:rPr>
      </w:pPr>
      <w:r>
        <w:rPr>
          <w:lang w:val="en-GB" w:eastAsia="en-GB"/>
        </w:rPr>
        <w:t xml:space="preserve">For more details, </w:t>
      </w:r>
      <w:r w:rsidR="005D42AD">
        <w:rPr>
          <w:lang w:val="en-GB" w:eastAsia="en-GB"/>
        </w:rPr>
        <w:t xml:space="preserve">one can consult sections 6.4 </w:t>
      </w:r>
      <w:r w:rsidR="002B6C1A">
        <w:rPr>
          <w:lang w:val="en-GB" w:eastAsia="en-GB"/>
        </w:rPr>
        <w:t xml:space="preserve">Grid User Account Position </w:t>
      </w:r>
      <w:r w:rsidR="005D42AD">
        <w:rPr>
          <w:lang w:val="en-GB" w:eastAsia="en-GB"/>
        </w:rPr>
        <w:t xml:space="preserve">and 6.5 </w:t>
      </w:r>
      <w:r w:rsidR="00385E18">
        <w:rPr>
          <w:lang w:val="en-GB" w:eastAsia="en-GB"/>
        </w:rPr>
        <w:t xml:space="preserve">Settlement Price </w:t>
      </w:r>
      <w:r w:rsidR="005D42AD">
        <w:rPr>
          <w:lang w:val="en-GB" w:eastAsia="en-GB"/>
        </w:rPr>
        <w:t xml:space="preserve">from the </w:t>
      </w:r>
      <w:r w:rsidR="00F85926">
        <w:rPr>
          <w:lang w:val="en-GB" w:eastAsia="en-GB"/>
        </w:rPr>
        <w:t>‘</w:t>
      </w:r>
      <w:r w:rsidR="005D42AD">
        <w:rPr>
          <w:lang w:val="en-GB" w:eastAsia="en-GB"/>
        </w:rPr>
        <w:t xml:space="preserve">Technical Description and Requirements </w:t>
      </w:r>
      <w:r w:rsidR="00CA223E">
        <w:rPr>
          <w:lang w:val="en-GB" w:eastAsia="en-GB"/>
        </w:rPr>
        <w:t>document</w:t>
      </w:r>
      <w:r w:rsidR="00F85926">
        <w:rPr>
          <w:lang w:val="en-GB" w:eastAsia="en-GB"/>
        </w:rPr>
        <w:t>’</w:t>
      </w:r>
      <w:r w:rsidR="00CA223E">
        <w:rPr>
          <w:lang w:val="en-GB" w:eastAsia="en-GB"/>
        </w:rPr>
        <w:t>.</w:t>
      </w:r>
    </w:p>
    <w:p w14:paraId="6960BD01" w14:textId="77777777" w:rsidR="00CA223E" w:rsidRDefault="00CA223E" w:rsidP="00AF0EA6">
      <w:pPr>
        <w:rPr>
          <w:lang w:val="en-GB" w:eastAsia="en-GB"/>
        </w:rPr>
      </w:pPr>
    </w:p>
    <w:p w14:paraId="22405DEC" w14:textId="20994007" w:rsidR="002F1BE8" w:rsidRPr="002F1BE8" w:rsidRDefault="002F1BE8" w:rsidP="00F11D1F">
      <w:pPr>
        <w:pStyle w:val="Chapter1"/>
      </w:pPr>
      <w:r>
        <w:t>Invoicing</w:t>
      </w:r>
    </w:p>
    <w:p w14:paraId="34202F6F" w14:textId="69824B51" w:rsidR="00C21D05" w:rsidRDefault="00C21D05" w:rsidP="00F11D1F">
      <w:pPr>
        <w:rPr>
          <w:lang w:eastAsia="en-GB"/>
        </w:rPr>
      </w:pPr>
      <w:r>
        <w:rPr>
          <w:lang w:eastAsia="en-GB"/>
        </w:rPr>
        <w:t>The new customer product code</w:t>
      </w:r>
      <w:r w:rsidR="008D5E5B">
        <w:rPr>
          <w:lang w:eastAsia="en-GB"/>
        </w:rPr>
        <w:t>s</w:t>
      </w:r>
      <w:r>
        <w:rPr>
          <w:lang w:eastAsia="en-GB"/>
        </w:rPr>
        <w:t xml:space="preserve"> will be published </w:t>
      </w:r>
      <w:r w:rsidR="00595EAD">
        <w:rPr>
          <w:lang w:eastAsia="en-GB"/>
        </w:rPr>
        <w:t xml:space="preserve">on the website </w:t>
      </w:r>
      <w:r w:rsidR="00CD554D">
        <w:rPr>
          <w:lang w:eastAsia="en-GB"/>
        </w:rPr>
        <w:t>www.</w:t>
      </w:r>
      <w:r w:rsidR="008B6760">
        <w:rPr>
          <w:lang w:eastAsia="en-GB"/>
        </w:rPr>
        <w:t>b</w:t>
      </w:r>
      <w:r w:rsidR="00595EAD">
        <w:rPr>
          <w:lang w:eastAsia="en-GB"/>
        </w:rPr>
        <w:t>alansys</w:t>
      </w:r>
      <w:r w:rsidR="00CD554D">
        <w:rPr>
          <w:lang w:eastAsia="en-GB"/>
        </w:rPr>
        <w:t>.eu</w:t>
      </w:r>
      <w:r w:rsidR="002C456F">
        <w:rPr>
          <w:lang w:eastAsia="en-GB"/>
        </w:rPr>
        <w:t>.</w:t>
      </w:r>
    </w:p>
    <w:p w14:paraId="65B5F1F2" w14:textId="46ABEAA6" w:rsidR="00917440" w:rsidRDefault="00917440" w:rsidP="00F11D1F">
      <w:pPr>
        <w:rPr>
          <w:lang w:eastAsia="en-GB"/>
        </w:rPr>
      </w:pPr>
      <w:r>
        <w:rPr>
          <w:lang w:eastAsia="en-GB"/>
        </w:rPr>
        <w:t xml:space="preserve">The invoices will </w:t>
      </w:r>
      <w:r w:rsidR="00512B93">
        <w:rPr>
          <w:lang w:eastAsia="en-GB"/>
        </w:rPr>
        <w:t xml:space="preserve">now </w:t>
      </w:r>
      <w:r w:rsidR="00E610F7">
        <w:rPr>
          <w:lang w:eastAsia="en-GB"/>
        </w:rPr>
        <w:t xml:space="preserve">give back </w:t>
      </w:r>
      <w:r w:rsidR="00AD6AB9">
        <w:rPr>
          <w:lang w:eastAsia="en-GB"/>
        </w:rPr>
        <w:t xml:space="preserve">the </w:t>
      </w:r>
      <w:r w:rsidR="008722D0">
        <w:rPr>
          <w:lang w:eastAsia="en-GB"/>
        </w:rPr>
        <w:t xml:space="preserve">settled quantity and </w:t>
      </w:r>
      <w:r w:rsidR="00923260">
        <w:rPr>
          <w:lang w:eastAsia="en-GB"/>
        </w:rPr>
        <w:t xml:space="preserve">cost </w:t>
      </w:r>
      <w:r w:rsidR="008722D0">
        <w:rPr>
          <w:lang w:eastAsia="en-GB"/>
        </w:rPr>
        <w:t>per status (main causer, minor causer or helpers</w:t>
      </w:r>
      <w:r w:rsidR="00923260">
        <w:rPr>
          <w:lang w:eastAsia="en-GB"/>
        </w:rPr>
        <w:t>), for both</w:t>
      </w:r>
      <w:r w:rsidR="008722D0">
        <w:rPr>
          <w:lang w:eastAsia="en-GB"/>
        </w:rPr>
        <w:t xml:space="preserve"> </w:t>
      </w:r>
      <w:r w:rsidR="00AD6AB9">
        <w:rPr>
          <w:lang w:eastAsia="en-GB"/>
        </w:rPr>
        <w:t>Within-Day and End-of-Day Settlement</w:t>
      </w:r>
      <w:r w:rsidR="00923260">
        <w:rPr>
          <w:lang w:eastAsia="en-GB"/>
        </w:rPr>
        <w:t>.</w:t>
      </w:r>
    </w:p>
    <w:p w14:paraId="1A5FEDD8" w14:textId="1F54F320" w:rsidR="002F1BE8" w:rsidRDefault="00CC7C8A" w:rsidP="00F11D1F">
      <w:pPr>
        <w:rPr>
          <w:lang w:eastAsia="en-GB"/>
        </w:rPr>
      </w:pPr>
      <w:r w:rsidRPr="2F6BC39B">
        <w:rPr>
          <w:lang w:eastAsia="en-GB"/>
        </w:rPr>
        <w:t>According to the normal invoicing cycle, the first invoices</w:t>
      </w:r>
      <w:r w:rsidR="0018478A" w:rsidRPr="2F6BC39B">
        <w:rPr>
          <w:lang w:eastAsia="en-GB"/>
        </w:rPr>
        <w:t xml:space="preserve"> will be </w:t>
      </w:r>
      <w:r w:rsidR="009F1EE8" w:rsidRPr="2F6BC39B">
        <w:rPr>
          <w:lang w:eastAsia="en-GB"/>
        </w:rPr>
        <w:t>issued</w:t>
      </w:r>
      <w:r w:rsidR="0018478A" w:rsidRPr="2F6BC39B">
        <w:rPr>
          <w:lang w:eastAsia="en-GB"/>
        </w:rPr>
        <w:t xml:space="preserve"> </w:t>
      </w:r>
      <w:r w:rsidR="004435AC" w:rsidRPr="2F6BC39B">
        <w:rPr>
          <w:lang w:eastAsia="en-GB"/>
        </w:rPr>
        <w:t xml:space="preserve">around </w:t>
      </w:r>
      <w:r w:rsidR="220464D4" w:rsidRPr="2F6BC39B">
        <w:rPr>
          <w:lang w:eastAsia="en-GB"/>
        </w:rPr>
        <w:t>mid-February</w:t>
      </w:r>
      <w:r w:rsidR="004435AC" w:rsidRPr="2F6BC39B">
        <w:rPr>
          <w:lang w:eastAsia="en-GB"/>
        </w:rPr>
        <w:t xml:space="preserve"> 2024, covering </w:t>
      </w:r>
      <w:r w:rsidR="63F104C1" w:rsidRPr="2F6BC39B">
        <w:rPr>
          <w:lang w:eastAsia="en-GB"/>
        </w:rPr>
        <w:t>the period</w:t>
      </w:r>
      <w:r w:rsidR="00B47879" w:rsidRPr="2F6BC39B">
        <w:rPr>
          <w:lang w:eastAsia="en-GB"/>
        </w:rPr>
        <w:t xml:space="preserve"> </w:t>
      </w:r>
      <w:r w:rsidR="00923260" w:rsidRPr="2F6BC39B">
        <w:rPr>
          <w:lang w:eastAsia="en-GB"/>
        </w:rPr>
        <w:t>January</w:t>
      </w:r>
      <w:r w:rsidR="00B47879" w:rsidRPr="2F6BC39B">
        <w:rPr>
          <w:lang w:eastAsia="en-GB"/>
        </w:rPr>
        <w:t xml:space="preserve"> 2024.</w:t>
      </w:r>
      <w:r w:rsidR="00EF4748" w:rsidRPr="2F6BC39B">
        <w:rPr>
          <w:lang w:eastAsia="en-GB"/>
        </w:rPr>
        <w:t xml:space="preserve"> In case of </w:t>
      </w:r>
      <w:r w:rsidR="00915B36">
        <w:rPr>
          <w:lang w:eastAsia="en-GB"/>
        </w:rPr>
        <w:t>Intermediate</w:t>
      </w:r>
      <w:r w:rsidR="00EF4748" w:rsidRPr="2F6BC39B">
        <w:rPr>
          <w:lang w:eastAsia="en-GB"/>
        </w:rPr>
        <w:t xml:space="preserve"> </w:t>
      </w:r>
      <w:r w:rsidR="00855F7B" w:rsidRPr="2F6BC39B">
        <w:rPr>
          <w:lang w:eastAsia="en-GB"/>
        </w:rPr>
        <w:t xml:space="preserve">Invoicing, </w:t>
      </w:r>
      <w:r w:rsidRPr="2F6BC39B">
        <w:rPr>
          <w:lang w:eastAsia="en-GB"/>
        </w:rPr>
        <w:t xml:space="preserve">invoices </w:t>
      </w:r>
      <w:r w:rsidR="00855F7B" w:rsidRPr="2F6BC39B">
        <w:rPr>
          <w:lang w:eastAsia="en-GB"/>
        </w:rPr>
        <w:t xml:space="preserve">might </w:t>
      </w:r>
      <w:r w:rsidRPr="2F6BC39B">
        <w:rPr>
          <w:lang w:eastAsia="en-GB"/>
        </w:rPr>
        <w:t>already be issued in January 2024.</w:t>
      </w:r>
    </w:p>
    <w:p w14:paraId="04F0C7CD" w14:textId="388CDD84" w:rsidR="002F1BE8" w:rsidRPr="00595EAD" w:rsidRDefault="00A26028" w:rsidP="00F11D1F">
      <w:pPr>
        <w:rPr>
          <w:lang w:val="en-GB"/>
        </w:rPr>
      </w:pPr>
      <w:r>
        <w:rPr>
          <w:lang w:eastAsia="en-GB"/>
        </w:rPr>
        <w:t xml:space="preserve">For any questions related to the invoices, Network Users can always </w:t>
      </w:r>
      <w:r w:rsidR="00C21D05">
        <w:rPr>
          <w:lang w:eastAsia="en-GB"/>
        </w:rPr>
        <w:t xml:space="preserve">reach to </w:t>
      </w:r>
      <w:hyperlink r:id="rId8" w:history="1">
        <w:r w:rsidR="00595EAD" w:rsidRPr="00EE5D7A">
          <w:rPr>
            <w:rStyle w:val="Hyperlink"/>
            <w:lang w:eastAsia="en-GB"/>
          </w:rPr>
          <w:t>invoicing@balansys.eu</w:t>
        </w:r>
      </w:hyperlink>
      <w:r w:rsidR="00C21D05">
        <w:rPr>
          <w:lang w:eastAsia="en-GB"/>
        </w:rPr>
        <w:t>.</w:t>
      </w:r>
    </w:p>
    <w:sectPr w:rsidR="002F1BE8" w:rsidRPr="00595E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AB89" w14:textId="77777777" w:rsidR="00C05698" w:rsidRDefault="00C05698" w:rsidP="00372CA5">
      <w:pPr>
        <w:spacing w:before="0" w:after="0" w:line="240" w:lineRule="auto"/>
      </w:pPr>
      <w:r>
        <w:separator/>
      </w:r>
    </w:p>
  </w:endnote>
  <w:endnote w:type="continuationSeparator" w:id="0">
    <w:p w14:paraId="3F35F900" w14:textId="77777777" w:rsidR="00C05698" w:rsidRDefault="00C05698" w:rsidP="00372CA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46E2E" w14:textId="77777777" w:rsidR="00906A0A" w:rsidRDefault="00906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CA5B4" w14:textId="20AD179D" w:rsidR="00E830EF" w:rsidRDefault="00BB0165">
    <w:pPr>
      <w:pStyle w:val="Footer"/>
      <w:jc w:val="right"/>
    </w:pPr>
    <w:r>
      <w:t xml:space="preserve"> Page </w:t>
    </w:r>
    <w:sdt>
      <w:sdtPr>
        <w:id w:val="-8083204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830EF">
          <w:fldChar w:fldCharType="begin"/>
        </w:r>
        <w:r w:rsidR="00E830EF">
          <w:instrText xml:space="preserve"> PAGE   \* MERGEFORMAT </w:instrText>
        </w:r>
        <w:r w:rsidR="00E830EF">
          <w:fldChar w:fldCharType="separate"/>
        </w:r>
        <w:r w:rsidR="00E830EF">
          <w:rPr>
            <w:noProof/>
          </w:rPr>
          <w:t>2</w:t>
        </w:r>
        <w:r w:rsidR="00E830EF">
          <w:rPr>
            <w:noProof/>
          </w:rPr>
          <w:fldChar w:fldCharType="end"/>
        </w:r>
        <w:r w:rsidR="00E830EF"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DOCPROPERTY  Pages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571BFF7F" w14:textId="57FEE0A3" w:rsidR="00372CA5" w:rsidRDefault="00372C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BF767" w14:textId="77777777" w:rsidR="00906A0A" w:rsidRDefault="00906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80BE" w14:textId="77777777" w:rsidR="00C05698" w:rsidRDefault="00C05698" w:rsidP="00372CA5">
      <w:pPr>
        <w:spacing w:before="0" w:after="0" w:line="240" w:lineRule="auto"/>
      </w:pPr>
      <w:r>
        <w:separator/>
      </w:r>
    </w:p>
  </w:footnote>
  <w:footnote w:type="continuationSeparator" w:id="0">
    <w:p w14:paraId="03E24989" w14:textId="77777777" w:rsidR="00C05698" w:rsidRDefault="00C05698" w:rsidP="00372CA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E07F6" w14:textId="77777777" w:rsidR="00906A0A" w:rsidRDefault="00906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D85D" w14:textId="4A692D0A" w:rsidR="00372CA5" w:rsidRPr="00E830EF" w:rsidRDefault="002E6B97" w:rsidP="00E830EF">
    <w:pPr>
      <w:pStyle w:val="Header"/>
      <w:ind w:left="6480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B3A171A" wp14:editId="3D035758">
          <wp:simplePos x="0" y="0"/>
          <wp:positionH relativeFrom="column">
            <wp:posOffset>-42545</wp:posOffset>
          </wp:positionH>
          <wp:positionV relativeFrom="paragraph">
            <wp:posOffset>-24765</wp:posOffset>
          </wp:positionV>
          <wp:extent cx="1383665" cy="531495"/>
          <wp:effectExtent l="0" t="0" r="6985" b="1905"/>
          <wp:wrapThrough wrapText="bothSides">
            <wp:wrapPolygon edited="0">
              <wp:start x="0" y="0"/>
              <wp:lineTo x="0" y="20903"/>
              <wp:lineTo x="21412" y="20903"/>
              <wp:lineTo x="21412" y="0"/>
              <wp:lineTo x="0" y="0"/>
            </wp:wrapPolygon>
          </wp:wrapThrough>
          <wp:docPr id="1" name="Picture 1" descr="Programme d'équilibr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gramme d'équilibr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3FF" w:rsidRPr="00E830EF">
      <w:rPr>
        <w:sz w:val="16"/>
        <w:szCs w:val="16"/>
      </w:rPr>
      <w:t>Date : October 2023</w:t>
    </w:r>
  </w:p>
  <w:p w14:paraId="46F070A7" w14:textId="38F93F5E" w:rsidR="009223FF" w:rsidRPr="00E830EF" w:rsidRDefault="009223FF" w:rsidP="00E830EF">
    <w:pPr>
      <w:pStyle w:val="Header"/>
      <w:ind w:left="6480"/>
      <w:jc w:val="right"/>
      <w:rPr>
        <w:sz w:val="16"/>
        <w:szCs w:val="16"/>
      </w:rPr>
    </w:pPr>
    <w:r w:rsidRPr="00E830EF">
      <w:rPr>
        <w:sz w:val="16"/>
        <w:szCs w:val="16"/>
      </w:rPr>
      <w:t>Version 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6A5C1" w14:textId="77777777" w:rsidR="00906A0A" w:rsidRDefault="00906A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74723"/>
    <w:multiLevelType w:val="multilevel"/>
    <w:tmpl w:val="BC709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0612C39"/>
    <w:multiLevelType w:val="multilevel"/>
    <w:tmpl w:val="7D968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3A2888"/>
    <w:multiLevelType w:val="multilevel"/>
    <w:tmpl w:val="49EE8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93501F"/>
    <w:multiLevelType w:val="hybridMultilevel"/>
    <w:tmpl w:val="7086409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E7BA9"/>
    <w:multiLevelType w:val="multilevel"/>
    <w:tmpl w:val="A15CE29A"/>
    <w:lvl w:ilvl="0">
      <w:start w:val="1"/>
      <w:numFmt w:val="decimal"/>
      <w:pStyle w:val="Chapter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72621599">
    <w:abstractNumId w:val="4"/>
    <w:lvlOverride w:ilvl="0">
      <w:startOverride w:val="1"/>
    </w:lvlOverride>
  </w:num>
  <w:num w:numId="2" w16cid:durableId="241137550">
    <w:abstractNumId w:val="2"/>
  </w:num>
  <w:num w:numId="3" w16cid:durableId="18051003">
    <w:abstractNumId w:val="1"/>
    <w:lvlOverride w:ilvl="0">
      <w:startOverride w:val="3"/>
    </w:lvlOverride>
  </w:num>
  <w:num w:numId="4" w16cid:durableId="760763976">
    <w:abstractNumId w:val="0"/>
  </w:num>
  <w:num w:numId="5" w16cid:durableId="6216195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E03"/>
    <w:rsid w:val="000108A1"/>
    <w:rsid w:val="000613C8"/>
    <w:rsid w:val="000A41CE"/>
    <w:rsid w:val="0010789B"/>
    <w:rsid w:val="00120010"/>
    <w:rsid w:val="0018478A"/>
    <w:rsid w:val="001A4947"/>
    <w:rsid w:val="001F26CE"/>
    <w:rsid w:val="002851B7"/>
    <w:rsid w:val="002A4E03"/>
    <w:rsid w:val="002B6C1A"/>
    <w:rsid w:val="002C456F"/>
    <w:rsid w:val="002E6B97"/>
    <w:rsid w:val="002F1BE8"/>
    <w:rsid w:val="00372CA5"/>
    <w:rsid w:val="00385E18"/>
    <w:rsid w:val="00430923"/>
    <w:rsid w:val="004435AC"/>
    <w:rsid w:val="0047220B"/>
    <w:rsid w:val="00512B93"/>
    <w:rsid w:val="0055328C"/>
    <w:rsid w:val="0057334B"/>
    <w:rsid w:val="00595EAD"/>
    <w:rsid w:val="005D42AD"/>
    <w:rsid w:val="006D07D3"/>
    <w:rsid w:val="006E0476"/>
    <w:rsid w:val="00706B1D"/>
    <w:rsid w:val="0071265D"/>
    <w:rsid w:val="007501D1"/>
    <w:rsid w:val="0075296E"/>
    <w:rsid w:val="00855F7B"/>
    <w:rsid w:val="008722D0"/>
    <w:rsid w:val="008B6760"/>
    <w:rsid w:val="008D5E5B"/>
    <w:rsid w:val="00906A0A"/>
    <w:rsid w:val="00915B36"/>
    <w:rsid w:val="00917440"/>
    <w:rsid w:val="009223FF"/>
    <w:rsid w:val="00922B3D"/>
    <w:rsid w:val="00923260"/>
    <w:rsid w:val="00967908"/>
    <w:rsid w:val="009F1EE8"/>
    <w:rsid w:val="00A26028"/>
    <w:rsid w:val="00AA6917"/>
    <w:rsid w:val="00AD0984"/>
    <w:rsid w:val="00AD6AB9"/>
    <w:rsid w:val="00AE56A2"/>
    <w:rsid w:val="00AE58A7"/>
    <w:rsid w:val="00AF0EA6"/>
    <w:rsid w:val="00B47879"/>
    <w:rsid w:val="00B921F5"/>
    <w:rsid w:val="00BB0165"/>
    <w:rsid w:val="00BB19C6"/>
    <w:rsid w:val="00C05698"/>
    <w:rsid w:val="00C21D05"/>
    <w:rsid w:val="00C52E33"/>
    <w:rsid w:val="00C556B9"/>
    <w:rsid w:val="00C713EF"/>
    <w:rsid w:val="00CA223E"/>
    <w:rsid w:val="00CC7C8A"/>
    <w:rsid w:val="00CD325D"/>
    <w:rsid w:val="00CD554D"/>
    <w:rsid w:val="00CF4AB5"/>
    <w:rsid w:val="00DB3900"/>
    <w:rsid w:val="00E01745"/>
    <w:rsid w:val="00E24DAC"/>
    <w:rsid w:val="00E36F25"/>
    <w:rsid w:val="00E610F7"/>
    <w:rsid w:val="00E830EF"/>
    <w:rsid w:val="00E8336D"/>
    <w:rsid w:val="00EF4748"/>
    <w:rsid w:val="00F0650D"/>
    <w:rsid w:val="00F11D1F"/>
    <w:rsid w:val="00F85926"/>
    <w:rsid w:val="00FB1465"/>
    <w:rsid w:val="09E5ED63"/>
    <w:rsid w:val="1B923A3E"/>
    <w:rsid w:val="220464D4"/>
    <w:rsid w:val="2C974B0F"/>
    <w:rsid w:val="2F6BC39B"/>
    <w:rsid w:val="31467584"/>
    <w:rsid w:val="63F1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6959F"/>
  <w15:chartTrackingRefBased/>
  <w15:docId w15:val="{DC3DD0A7-4AC9-475F-A009-9CF42F1FF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D1F"/>
    <w:pPr>
      <w:spacing w:before="120"/>
    </w:pPr>
    <w:rPr>
      <w:rFonts w:ascii="Century Gothic" w:hAnsi="Century Gothic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E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4E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F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hapter1">
    <w:name w:val="Chapter 1"/>
    <w:basedOn w:val="Normal"/>
    <w:link w:val="Chapter1Char"/>
    <w:qFormat/>
    <w:rsid w:val="002F1BE8"/>
    <w:pPr>
      <w:numPr>
        <w:numId w:val="1"/>
      </w:numPr>
      <w:spacing w:after="0" w:line="240" w:lineRule="auto"/>
      <w:textAlignment w:val="center"/>
    </w:pPr>
    <w:rPr>
      <w:rFonts w:eastAsia="Times New Roman" w:cs="Times New Roman"/>
      <w:b/>
      <w:color w:val="002060"/>
      <w:lang w:val="fr-BE"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2F1BE8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4"/>
      <w:szCs w:val="24"/>
      <w:u w:val="single"/>
    </w:rPr>
  </w:style>
  <w:style w:type="character" w:customStyle="1" w:styleId="Chapter1Char">
    <w:name w:val="Chapter 1 Char"/>
    <w:basedOn w:val="DefaultParagraphFont"/>
    <w:link w:val="Chapter1"/>
    <w:rsid w:val="002F1BE8"/>
    <w:rPr>
      <w:rFonts w:ascii="Century Gothic" w:eastAsia="Times New Roman" w:hAnsi="Century Gothic" w:cs="Times New Roman"/>
      <w:b/>
      <w:color w:val="002060"/>
      <w:szCs w:val="20"/>
      <w:lang w:val="fr-BE" w:eastAsia="en-GB"/>
    </w:rPr>
  </w:style>
  <w:style w:type="character" w:customStyle="1" w:styleId="TitleChar">
    <w:name w:val="Title Char"/>
    <w:basedOn w:val="DefaultParagraphFont"/>
    <w:link w:val="Title"/>
    <w:uiPriority w:val="10"/>
    <w:rsid w:val="002F1BE8"/>
    <w:rPr>
      <w:rFonts w:ascii="Century Gothic" w:eastAsiaTheme="majorEastAsia" w:hAnsi="Century Gothic" w:cstheme="majorBidi"/>
      <w:spacing w:val="-10"/>
      <w:kern w:val="28"/>
      <w:sz w:val="24"/>
      <w:szCs w:val="24"/>
      <w:u w:val="single"/>
      <w:lang w:val="en-US"/>
    </w:rPr>
  </w:style>
  <w:style w:type="paragraph" w:styleId="ListParagraph">
    <w:name w:val="List Paragraph"/>
    <w:basedOn w:val="Normal"/>
    <w:uiPriority w:val="34"/>
    <w:qFormat/>
    <w:rsid w:val="002F1B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21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1D0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72CA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2CA5"/>
    <w:rPr>
      <w:rFonts w:ascii="Century Gothic" w:hAnsi="Century Gothic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2CA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2CA5"/>
    <w:rPr>
      <w:rFonts w:ascii="Century Gothic" w:hAnsi="Century Gothic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CD325D"/>
    <w:pPr>
      <w:spacing w:after="0" w:line="240" w:lineRule="auto"/>
    </w:pPr>
    <w:rPr>
      <w:rFonts w:ascii="Century Gothic" w:hAnsi="Century Gothic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oicing@balansys.e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balansys.eu/wp-content/uploads/2023/02/Fluxys_Balansys.zi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Hallaux Geoffroy</dc:creator>
  <cp:keywords/>
  <dc:description/>
  <cp:lastModifiedBy>Hallaux Geoffroy</cp:lastModifiedBy>
  <cp:revision>11</cp:revision>
  <dcterms:created xsi:type="dcterms:W3CDTF">2023-10-18T08:31:00Z</dcterms:created>
  <dcterms:modified xsi:type="dcterms:W3CDTF">2023-10-19T14:30:00Z</dcterms:modified>
</cp:coreProperties>
</file>